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B" w:rsidRPr="00605DEB" w:rsidRDefault="00605DEB" w:rsidP="00605D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 xml:space="preserve">Nous avons à </w:t>
      </w:r>
      <w:proofErr w:type="gramStart"/>
      <w:r w:rsidRPr="00605DEB">
        <w:rPr>
          <w:rFonts w:eastAsia="Times New Roman" w:cs="Times New Roman"/>
        </w:rPr>
        <w:t>maintes reprises sollicité</w:t>
      </w:r>
      <w:proofErr w:type="gramEnd"/>
      <w:r w:rsidRPr="00605DEB">
        <w:rPr>
          <w:rFonts w:eastAsia="Times New Roman" w:cs="Times New Roman"/>
        </w:rPr>
        <w:t>, le MEDEF national,  le Ministère de l'Outre- mer, le Ministère de la Santé,  la Direction de la Sécurité sociale nationale et locale ainsi que la Préfecture de Mayotte de l'injustice que vivent les travailleurs indépendants de Mayotte.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En effet, depuis 2012, nous avons cotisé sur des bases illégales en l'absence de décret.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L' ACOSS met alors un feu rouge technique pour arrêter l'appel à cotisations en 2015.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Depuis nous sommes montés au créneau pour que le décret paraisse et permette au T.I de régulariser la période 2012-2018 notamment sur la cotisation retraite sur la base du volontariat. 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Le décret paraît le 25 juin 2019, sans tenir compte de nos remarques à savoir,  donner le temps matériel de prévenir les T.I.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Ce décret autorise un appel à cotisation rétroactif au 1er.janvier 2019.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Et po</w:t>
      </w:r>
      <w:bookmarkStart w:id="0" w:name="_GoBack"/>
      <w:bookmarkEnd w:id="0"/>
      <w:r w:rsidRPr="00605DEB">
        <w:rPr>
          <w:rFonts w:eastAsia="Times New Roman" w:cs="Times New Roman"/>
        </w:rPr>
        <w:t xml:space="preserve">ur </w:t>
      </w:r>
      <w:proofErr w:type="gramStart"/>
      <w:r w:rsidRPr="00605DEB">
        <w:rPr>
          <w:rFonts w:eastAsia="Times New Roman" w:cs="Times New Roman"/>
        </w:rPr>
        <w:t>finir ,</w:t>
      </w:r>
      <w:proofErr w:type="gramEnd"/>
      <w:r w:rsidRPr="00605DEB">
        <w:rPr>
          <w:rFonts w:eastAsia="Times New Roman" w:cs="Times New Roman"/>
        </w:rPr>
        <w:t xml:space="preserve"> AUCUN APPEL A COTISATION N'EST POSSIBLE depuis 2019, ni 2020.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L'ACOSS ne met pas de moyens à notre caisse locale pour l'appel à cotisations. 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 xml:space="preserve">De ce fait juridiquement,  cela devient une dette exigible à tout moment sachant </w:t>
      </w:r>
      <w:proofErr w:type="spellStart"/>
      <w:r w:rsidRPr="00605DEB">
        <w:rPr>
          <w:rFonts w:eastAsia="Times New Roman" w:cs="Times New Roman"/>
        </w:rPr>
        <w:t>qu"aucun</w:t>
      </w:r>
      <w:proofErr w:type="spellEnd"/>
      <w:r w:rsidRPr="00605DEB">
        <w:rPr>
          <w:rFonts w:eastAsia="Times New Roman" w:cs="Times New Roman"/>
        </w:rPr>
        <w:t xml:space="preserve"> T.I. </w:t>
      </w:r>
      <w:proofErr w:type="gramStart"/>
      <w:r w:rsidRPr="00605DEB">
        <w:rPr>
          <w:rFonts w:eastAsia="Times New Roman" w:cs="Times New Roman"/>
        </w:rPr>
        <w:t>n' a</w:t>
      </w:r>
      <w:proofErr w:type="gramEnd"/>
      <w:r w:rsidRPr="00605DEB">
        <w:rPr>
          <w:rFonts w:eastAsia="Times New Roman" w:cs="Times New Roman"/>
        </w:rPr>
        <w:t xml:space="preserve"> provisionné ces sommes.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Aujourd'hui avec cette crise COVID-19 sans précédent,  une aide financière de l'URSAAF est prévue.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Quels sont les critères d'éligibilité ?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-avoir effectué au moins un versement de cotisation depuis son installation 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- avoir été affilié avant le 1er janvier 2020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 xml:space="preserve">- être impacté de manière significative par des mesures de réduction ou de suspension d'activité </w:t>
      </w:r>
      <w:proofErr w:type="gramStart"/>
      <w:r w:rsidRPr="00605DEB">
        <w:rPr>
          <w:rFonts w:eastAsia="Times New Roman" w:cs="Times New Roman"/>
        </w:rPr>
        <w:t>( ex</w:t>
      </w:r>
      <w:proofErr w:type="gramEnd"/>
      <w:r w:rsidRPr="00605DEB">
        <w:rPr>
          <w:rFonts w:eastAsia="Times New Roman" w:cs="Times New Roman"/>
        </w:rPr>
        <w:t>: réduction importante du C.A)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Où sont situés les T.I de Mayotte ?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Peuvent ils bénéficier de la solidarité nationale vu que ce n'est pas de leur fait qu'ils ne cotisent toujours pas depuis 2019?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 xml:space="preserve">Nos TI. </w:t>
      </w:r>
      <w:proofErr w:type="gramStart"/>
      <w:r w:rsidRPr="00605DEB">
        <w:rPr>
          <w:rFonts w:eastAsia="Times New Roman" w:cs="Times New Roman"/>
        </w:rPr>
        <w:t>ont</w:t>
      </w:r>
      <w:proofErr w:type="gramEnd"/>
      <w:r w:rsidRPr="00605DEB">
        <w:rPr>
          <w:rFonts w:eastAsia="Times New Roman" w:cs="Times New Roman"/>
        </w:rPr>
        <w:t xml:space="preserve"> besoin de ces aides.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Il ne serait pas juste qu'ils soient exclus de ce dispositif. 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C'est pourquoi par la présente nous vous demandons de trouver une solution avec tous les Ministères concernés et l'ACOSS pour les T.I de Mayotte. 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 xml:space="preserve">Il faudrait qu'ils puissent racheter leurs trimestres pour </w:t>
      </w:r>
      <w:proofErr w:type="gramStart"/>
      <w:r w:rsidRPr="00605DEB">
        <w:rPr>
          <w:rFonts w:eastAsia="Times New Roman" w:cs="Times New Roman"/>
        </w:rPr>
        <w:t>leur retraites</w:t>
      </w:r>
      <w:proofErr w:type="gramEnd"/>
      <w:r w:rsidRPr="00605DEB">
        <w:rPr>
          <w:rFonts w:eastAsia="Times New Roman" w:cs="Times New Roman"/>
        </w:rPr>
        <w:t xml:space="preserve"> sur la base du volontariat et qu'on ne leur exige pas de cotisations autres tant que l'ACOSS ne met pas de moyen de faire les appels à cotisations auprès de la caisse locale dite CSSM.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De plus, ils doivent bénéficier de ce fond de solidarité au vue de la crise COVID-19. 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Dans l'attente d'une réelle prise en compte, du respect de personnes qui se battent pour créer des emplois et développer leur département malgré toutes les embûches. 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 xml:space="preserve">Le temps passe et ils se dirigent droit vers le mur de la précarité </w:t>
      </w:r>
      <w:proofErr w:type="gramStart"/>
      <w:r w:rsidRPr="00605DEB">
        <w:rPr>
          <w:rFonts w:eastAsia="Times New Roman" w:cs="Times New Roman"/>
        </w:rPr>
        <w:t>( pas</w:t>
      </w:r>
      <w:proofErr w:type="gramEnd"/>
      <w:r w:rsidRPr="00605DEB">
        <w:rPr>
          <w:rFonts w:eastAsia="Times New Roman" w:cs="Times New Roman"/>
        </w:rPr>
        <w:t xml:space="preserve"> de retraites dignes, des absences de droits,  pas d'accès à la solidarité nationale,...).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Cette injustice doit cesser avec et après le COVID-19. 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Bien cordialement </w:t>
      </w:r>
    </w:p>
    <w:p w:rsidR="00605DEB" w:rsidRPr="00605DEB" w:rsidRDefault="00605DEB" w:rsidP="00605DEB">
      <w:pPr>
        <w:rPr>
          <w:rFonts w:eastAsia="Times New Roman" w:cs="Times New Roman"/>
        </w:rPr>
      </w:pP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Carla BALTUS </w:t>
      </w:r>
    </w:p>
    <w:p w:rsidR="00605DEB" w:rsidRPr="00605DEB" w:rsidRDefault="00605DEB" w:rsidP="00605DEB">
      <w:pPr>
        <w:rPr>
          <w:rFonts w:eastAsia="Times New Roman" w:cs="Times New Roman"/>
        </w:rPr>
      </w:pPr>
      <w:r w:rsidRPr="00605DEB">
        <w:rPr>
          <w:rFonts w:eastAsia="Times New Roman" w:cs="Times New Roman"/>
        </w:rPr>
        <w:t>Présidente du MEDEF Mayotte </w:t>
      </w:r>
    </w:p>
    <w:p w:rsidR="00605DEB" w:rsidRPr="00605DEB" w:rsidRDefault="00605DEB"/>
    <w:sectPr w:rsidR="00605DEB" w:rsidRPr="00605DEB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B"/>
    <w:rsid w:val="00010A7E"/>
    <w:rsid w:val="00605DEB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2020-03-29T16:13:00Z</dcterms:created>
  <dcterms:modified xsi:type="dcterms:W3CDTF">2020-03-29T16:14:00Z</dcterms:modified>
</cp:coreProperties>
</file>