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E1C5E" w14:textId="77777777" w:rsidR="00AB15AD" w:rsidRPr="004B7BD9" w:rsidRDefault="00AB15AD" w:rsidP="00AB15AD">
      <w:pPr>
        <w:jc w:val="both"/>
        <w:rPr>
          <w:rFonts w:ascii="Arial" w:hAnsi="Arial" w:cs="Arial"/>
          <w:sz w:val="36"/>
          <w:szCs w:val="36"/>
        </w:rPr>
      </w:pPr>
    </w:p>
    <w:p w14:paraId="56730B21" w14:textId="77777777" w:rsidR="00AB15AD" w:rsidRPr="004B7BD9" w:rsidRDefault="00AB15AD" w:rsidP="00AB15AD">
      <w:pPr>
        <w:jc w:val="center"/>
        <w:rPr>
          <w:rFonts w:ascii="Arial" w:hAnsi="Arial" w:cs="Arial"/>
          <w:sz w:val="36"/>
          <w:szCs w:val="36"/>
        </w:rPr>
      </w:pPr>
      <w:r w:rsidRPr="004B7BD9">
        <w:rPr>
          <w:rFonts w:ascii="Arial" w:hAnsi="Arial" w:cs="Arial"/>
          <w:sz w:val="36"/>
          <w:szCs w:val="36"/>
        </w:rPr>
        <w:t xml:space="preserve">MOTION </w:t>
      </w:r>
    </w:p>
    <w:p w14:paraId="167EC7AF" w14:textId="77777777" w:rsidR="00AB15AD" w:rsidRPr="004B7BD9" w:rsidRDefault="00AB15AD" w:rsidP="00AB15AD">
      <w:pPr>
        <w:jc w:val="center"/>
        <w:rPr>
          <w:rFonts w:ascii="Arial" w:hAnsi="Arial" w:cs="Arial"/>
          <w:sz w:val="32"/>
          <w:szCs w:val="32"/>
        </w:rPr>
      </w:pPr>
      <w:r w:rsidRPr="004B7BD9">
        <w:rPr>
          <w:rFonts w:ascii="Arial" w:hAnsi="Arial" w:cs="Arial"/>
          <w:sz w:val="32"/>
          <w:szCs w:val="32"/>
        </w:rPr>
        <w:t>AUX FINS D’AMENDEMENTS DU PROJET DE LOI JUSTICE</w:t>
      </w:r>
    </w:p>
    <w:p w14:paraId="18BF3E1F" w14:textId="77777777" w:rsidR="00AB15AD" w:rsidRPr="004B7BD9" w:rsidRDefault="00AB15AD" w:rsidP="00AB15AD">
      <w:pPr>
        <w:pStyle w:val="Sansinterligne"/>
        <w:ind w:left="5664"/>
        <w:rPr>
          <w:rFonts w:ascii="Arial" w:hAnsi="Arial" w:cs="Arial"/>
          <w:i/>
          <w:sz w:val="24"/>
          <w:szCs w:val="24"/>
        </w:rPr>
      </w:pPr>
    </w:p>
    <w:p w14:paraId="7BBEF1EA" w14:textId="77777777" w:rsidR="00AB15AD" w:rsidRPr="004B7BD9" w:rsidRDefault="00AB15AD" w:rsidP="00AB15AD">
      <w:pPr>
        <w:jc w:val="right"/>
        <w:rPr>
          <w:rFonts w:ascii="Arial" w:hAnsi="Arial" w:cs="Arial"/>
          <w:color w:val="000000"/>
        </w:rPr>
      </w:pPr>
    </w:p>
    <w:p w14:paraId="533E9F1A" w14:textId="23C7E2DE" w:rsidR="004B7BD9" w:rsidRPr="004B7BD9" w:rsidRDefault="004B7BD9" w:rsidP="00AB15AD">
      <w:pPr>
        <w:pStyle w:val="NormalWeb"/>
        <w:shd w:val="clear" w:color="auto" w:fill="FFFFFF"/>
        <w:spacing w:before="0" w:beforeAutospacing="0" w:after="0" w:afterAutospacing="0"/>
        <w:jc w:val="both"/>
        <w:textAlignment w:val="baseline"/>
        <w:rPr>
          <w:rFonts w:ascii="Arial" w:hAnsi="Arial" w:cs="Arial"/>
          <w:sz w:val="23"/>
          <w:szCs w:val="23"/>
        </w:rPr>
      </w:pPr>
      <w:r w:rsidRPr="004B7BD9">
        <w:rPr>
          <w:rFonts w:ascii="Arial" w:hAnsi="Arial" w:cs="Arial"/>
          <w:sz w:val="23"/>
          <w:szCs w:val="23"/>
          <w:u w:val="single"/>
        </w:rPr>
        <w:t>Le projet de loi</w:t>
      </w:r>
      <w:r w:rsidRPr="004B7BD9">
        <w:rPr>
          <w:rFonts w:ascii="Arial" w:hAnsi="Arial" w:cs="Arial"/>
          <w:sz w:val="23"/>
          <w:szCs w:val="23"/>
        </w:rPr>
        <w:t xml:space="preserve"> </w:t>
      </w:r>
      <w:r w:rsidRPr="004B7BD9">
        <w:rPr>
          <w:rStyle w:val="Accentuation"/>
          <w:rFonts w:ascii="Arial" w:hAnsi="Arial" w:cs="Arial"/>
          <w:sz w:val="23"/>
          <w:szCs w:val="23"/>
        </w:rPr>
        <w:t>de </w:t>
      </w:r>
      <w:r w:rsidRPr="004B7BD9">
        <w:rPr>
          <w:rStyle w:val="lev"/>
          <w:rFonts w:ascii="Arial" w:hAnsi="Arial" w:cs="Arial"/>
          <w:sz w:val="23"/>
          <w:szCs w:val="23"/>
        </w:rPr>
        <w:t>programmation</w:t>
      </w:r>
      <w:r w:rsidRPr="004B7BD9">
        <w:rPr>
          <w:rStyle w:val="Accentuation"/>
          <w:rFonts w:ascii="Arial" w:hAnsi="Arial" w:cs="Arial"/>
          <w:b/>
          <w:sz w:val="23"/>
          <w:szCs w:val="23"/>
        </w:rPr>
        <w:t> </w:t>
      </w:r>
      <w:r w:rsidRPr="004B7BD9">
        <w:rPr>
          <w:rStyle w:val="lev"/>
          <w:rFonts w:ascii="Arial" w:hAnsi="Arial" w:cs="Arial"/>
          <w:sz w:val="23"/>
          <w:szCs w:val="23"/>
        </w:rPr>
        <w:t>2018</w:t>
      </w:r>
      <w:r w:rsidRPr="004B7BD9">
        <w:rPr>
          <w:rStyle w:val="Accentuation"/>
          <w:rFonts w:ascii="Arial" w:hAnsi="Arial" w:cs="Arial"/>
          <w:b/>
          <w:sz w:val="23"/>
          <w:szCs w:val="23"/>
        </w:rPr>
        <w:t>-</w:t>
      </w:r>
      <w:r w:rsidRPr="004B7BD9">
        <w:rPr>
          <w:rStyle w:val="lev"/>
          <w:rFonts w:ascii="Arial" w:hAnsi="Arial" w:cs="Arial"/>
          <w:i/>
          <w:sz w:val="23"/>
          <w:szCs w:val="23"/>
        </w:rPr>
        <w:t>2022</w:t>
      </w:r>
      <w:r w:rsidRPr="004B7BD9">
        <w:rPr>
          <w:rStyle w:val="Accentuation"/>
          <w:rFonts w:ascii="Arial" w:hAnsi="Arial" w:cs="Arial"/>
          <w:sz w:val="23"/>
          <w:szCs w:val="23"/>
        </w:rPr>
        <w:t xml:space="preserve"> et </w:t>
      </w:r>
      <w:r w:rsidRPr="004B7BD9">
        <w:rPr>
          <w:rStyle w:val="Accentuation"/>
          <w:rFonts w:ascii="Arial" w:hAnsi="Arial" w:cs="Arial"/>
          <w:sz w:val="23"/>
          <w:szCs w:val="23"/>
          <w:u w:val="single"/>
        </w:rPr>
        <w:t>de réforme pour la justice</w:t>
      </w:r>
      <w:r w:rsidRPr="004B7BD9">
        <w:rPr>
          <w:rStyle w:val="Accentuation"/>
          <w:rFonts w:ascii="Arial" w:hAnsi="Arial" w:cs="Arial"/>
          <w:sz w:val="23"/>
          <w:szCs w:val="23"/>
        </w:rPr>
        <w:t xml:space="preserve"> et </w:t>
      </w:r>
      <w:r w:rsidRPr="004B7BD9">
        <w:rPr>
          <w:rFonts w:ascii="Arial" w:hAnsi="Arial" w:cs="Arial"/>
          <w:sz w:val="23"/>
          <w:szCs w:val="23"/>
          <w:u w:val="single"/>
          <w:shd w:val="clear" w:color="auto" w:fill="FFFFFF"/>
        </w:rPr>
        <w:t>le projet de loi organique</w:t>
      </w:r>
      <w:r w:rsidRPr="004B7BD9">
        <w:rPr>
          <w:rFonts w:ascii="Arial" w:hAnsi="Arial" w:cs="Arial"/>
          <w:sz w:val="23"/>
          <w:szCs w:val="23"/>
          <w:shd w:val="clear" w:color="auto" w:fill="FFFFFF"/>
        </w:rPr>
        <w:t xml:space="preserve"> relatif au </w:t>
      </w:r>
      <w:r w:rsidRPr="004B7BD9">
        <w:rPr>
          <w:rFonts w:ascii="Arial" w:hAnsi="Arial" w:cs="Arial"/>
          <w:i/>
          <w:sz w:val="23"/>
          <w:szCs w:val="23"/>
          <w:u w:val="single"/>
          <w:shd w:val="clear" w:color="auto" w:fill="FFFFFF"/>
        </w:rPr>
        <w:t>renforcement de l’organisation des juridictions</w:t>
      </w:r>
      <w:r w:rsidRPr="004B7BD9">
        <w:rPr>
          <w:rFonts w:ascii="Arial" w:hAnsi="Arial" w:cs="Arial"/>
          <w:sz w:val="23"/>
          <w:szCs w:val="23"/>
        </w:rPr>
        <w:t xml:space="preserve"> sont examinés ce jeudi 15 novembre 2018 par l’Assemblée nationale.</w:t>
      </w:r>
    </w:p>
    <w:p w14:paraId="21BBFCA3" w14:textId="77777777" w:rsidR="004B7BD9" w:rsidRPr="004B7BD9" w:rsidRDefault="004B7BD9" w:rsidP="00AB15AD">
      <w:pPr>
        <w:pStyle w:val="NormalWeb"/>
        <w:shd w:val="clear" w:color="auto" w:fill="FFFFFF"/>
        <w:spacing w:before="0" w:beforeAutospacing="0" w:after="0" w:afterAutospacing="0"/>
        <w:jc w:val="both"/>
        <w:textAlignment w:val="baseline"/>
        <w:rPr>
          <w:rFonts w:ascii="Arial" w:hAnsi="Arial" w:cs="Arial"/>
          <w:sz w:val="23"/>
          <w:szCs w:val="23"/>
          <w:shd w:val="clear" w:color="auto" w:fill="FFFFFF"/>
        </w:rPr>
      </w:pPr>
    </w:p>
    <w:p w14:paraId="6753A939" w14:textId="25193623" w:rsidR="00AB15AD" w:rsidRPr="004B7BD9" w:rsidRDefault="00AB15AD" w:rsidP="00AB15AD">
      <w:pPr>
        <w:pStyle w:val="NormalWeb"/>
        <w:shd w:val="clear" w:color="auto" w:fill="FFFFFF"/>
        <w:spacing w:before="0" w:beforeAutospacing="0" w:after="0" w:afterAutospacing="0"/>
        <w:jc w:val="both"/>
        <w:textAlignment w:val="baseline"/>
        <w:rPr>
          <w:rFonts w:ascii="Arial" w:hAnsi="Arial" w:cs="Arial"/>
          <w:sz w:val="23"/>
          <w:szCs w:val="23"/>
        </w:rPr>
      </w:pPr>
      <w:r w:rsidRPr="004B7BD9">
        <w:rPr>
          <w:rFonts w:ascii="Arial" w:hAnsi="Arial" w:cs="Arial"/>
          <w:sz w:val="23"/>
          <w:szCs w:val="23"/>
          <w:shd w:val="clear" w:color="auto" w:fill="FFFFFF"/>
        </w:rPr>
        <w:t xml:space="preserve">Le Barreau de Mayotte confirme </w:t>
      </w:r>
      <w:r w:rsidRPr="004B7BD9">
        <w:rPr>
          <w:rFonts w:ascii="Arial" w:hAnsi="Arial" w:cs="Arial"/>
          <w:sz w:val="23"/>
          <w:szCs w:val="23"/>
        </w:rPr>
        <w:t>:</w:t>
      </w:r>
    </w:p>
    <w:p w14:paraId="0F8FDC6E" w14:textId="77777777" w:rsidR="00AB15AD" w:rsidRPr="004B7BD9" w:rsidRDefault="00AB15AD" w:rsidP="00AB15AD">
      <w:pPr>
        <w:pStyle w:val="NormalWeb"/>
        <w:shd w:val="clear" w:color="auto" w:fill="FFFFFF"/>
        <w:spacing w:before="0" w:beforeAutospacing="0" w:after="0" w:afterAutospacing="0"/>
        <w:jc w:val="both"/>
        <w:textAlignment w:val="baseline"/>
        <w:rPr>
          <w:rFonts w:ascii="Arial" w:hAnsi="Arial" w:cs="Arial"/>
          <w:sz w:val="23"/>
          <w:szCs w:val="23"/>
        </w:rPr>
      </w:pPr>
    </w:p>
    <w:p w14:paraId="1D0830F2" w14:textId="77777777" w:rsidR="00AB15AD" w:rsidRPr="004B7BD9" w:rsidRDefault="00AB15AD" w:rsidP="00AB15AD">
      <w:pPr>
        <w:pStyle w:val="Paragraphedeliste"/>
        <w:numPr>
          <w:ilvl w:val="0"/>
          <w:numId w:val="1"/>
        </w:numPr>
        <w:jc w:val="both"/>
        <w:rPr>
          <w:rFonts w:ascii="Arial" w:hAnsi="Arial" w:cs="Arial"/>
          <w:sz w:val="23"/>
          <w:szCs w:val="23"/>
        </w:rPr>
      </w:pPr>
      <w:r w:rsidRPr="004B7BD9">
        <w:rPr>
          <w:rFonts w:ascii="Arial" w:hAnsi="Arial" w:cs="Arial"/>
          <w:b/>
          <w:bCs/>
          <w:sz w:val="23"/>
          <w:szCs w:val="23"/>
        </w:rPr>
        <w:t>Son refus à voir institutionnaliser la notion de spécialisation.</w:t>
      </w:r>
    </w:p>
    <w:p w14:paraId="5E4A643E" w14:textId="77777777" w:rsidR="00AB15AD" w:rsidRPr="004B7BD9" w:rsidRDefault="00AB15AD" w:rsidP="00AB15AD">
      <w:pPr>
        <w:pStyle w:val="Paragraphedeliste"/>
        <w:shd w:val="clear" w:color="auto" w:fill="FFFFFF"/>
        <w:spacing w:before="100" w:beforeAutospacing="1" w:after="100"/>
        <w:ind w:left="1080"/>
        <w:jc w:val="both"/>
        <w:rPr>
          <w:rFonts w:ascii="Arial" w:hAnsi="Arial" w:cs="Arial"/>
          <w:color w:val="121212"/>
          <w:sz w:val="23"/>
          <w:szCs w:val="23"/>
        </w:rPr>
      </w:pPr>
      <w:r w:rsidRPr="004B7BD9">
        <w:rPr>
          <w:rFonts w:ascii="Arial" w:hAnsi="Arial" w:cs="Arial"/>
          <w:color w:val="121212"/>
          <w:sz w:val="23"/>
          <w:szCs w:val="23"/>
        </w:rPr>
        <w:t xml:space="preserve">Malgré certaines « avancées » - notamment avec l’introduction des limites de volumétrie et technicité des contentieux concernés – les ordres contestent la mise en place d’un système de délestage de certains contentieux spécialisés vers des TGI au détriment d’autres, qui a terme pourrait être créateur de véritables déserts judicaires et dépossède le Législateur de son pouvoir d’ouverture ou fermeture de tribunaux au profit de l’Exécutif qui gérerait ces spécialisations par voie réglementaire. </w:t>
      </w:r>
    </w:p>
    <w:p w14:paraId="66F47E6E" w14:textId="77777777" w:rsidR="00AB15AD" w:rsidRPr="004B7BD9" w:rsidRDefault="00AB15AD" w:rsidP="00AB15AD">
      <w:pPr>
        <w:pStyle w:val="Paragraphedeliste"/>
        <w:shd w:val="clear" w:color="auto" w:fill="FFFFFF"/>
        <w:spacing w:before="100" w:beforeAutospacing="1" w:after="100"/>
        <w:ind w:left="1080"/>
        <w:jc w:val="both"/>
        <w:rPr>
          <w:rFonts w:ascii="Arial" w:hAnsi="Arial" w:cs="Arial"/>
          <w:color w:val="121212"/>
          <w:sz w:val="23"/>
          <w:szCs w:val="23"/>
        </w:rPr>
      </w:pPr>
    </w:p>
    <w:p w14:paraId="4CA32EFB" w14:textId="77777777" w:rsidR="00AB15AD" w:rsidRPr="004B7BD9" w:rsidRDefault="00AB15AD" w:rsidP="00AB15AD">
      <w:pPr>
        <w:pStyle w:val="Paragraphedeliste"/>
        <w:numPr>
          <w:ilvl w:val="0"/>
          <w:numId w:val="1"/>
        </w:numPr>
        <w:jc w:val="both"/>
        <w:rPr>
          <w:rFonts w:ascii="Arial" w:hAnsi="Arial" w:cs="Arial"/>
          <w:sz w:val="23"/>
          <w:szCs w:val="23"/>
        </w:rPr>
      </w:pPr>
      <w:r w:rsidRPr="004B7BD9">
        <w:rPr>
          <w:rFonts w:ascii="Arial" w:hAnsi="Arial" w:cs="Arial"/>
          <w:sz w:val="23"/>
          <w:szCs w:val="23"/>
        </w:rPr>
        <w:t>Une opposition renforcée par le fait que ces spécialisations devront être déterminées au cas par cas, localement, alors qu’</w:t>
      </w:r>
      <w:r w:rsidRPr="004B7BD9">
        <w:rPr>
          <w:rFonts w:ascii="Arial" w:hAnsi="Arial" w:cs="Arial"/>
          <w:b/>
          <w:sz w:val="23"/>
          <w:szCs w:val="23"/>
        </w:rPr>
        <w:t xml:space="preserve">il n’est pas garanti dans le texte, avant la phase réglementaire, que les ordres ou les avocats, </w:t>
      </w:r>
      <w:r w:rsidRPr="004B7BD9">
        <w:rPr>
          <w:rFonts w:ascii="Arial" w:hAnsi="Arial" w:cs="Arial"/>
          <w:sz w:val="23"/>
          <w:szCs w:val="23"/>
        </w:rPr>
        <w:t xml:space="preserve">bien qu’ils soient des acteurs majeurs du système judiciaire, </w:t>
      </w:r>
      <w:r w:rsidRPr="004B7BD9">
        <w:rPr>
          <w:rFonts w:ascii="Arial" w:hAnsi="Arial" w:cs="Arial"/>
          <w:b/>
          <w:sz w:val="23"/>
          <w:szCs w:val="23"/>
        </w:rPr>
        <w:t>ni</w:t>
      </w:r>
      <w:r w:rsidRPr="004B7BD9">
        <w:rPr>
          <w:rFonts w:ascii="Arial" w:hAnsi="Arial" w:cs="Arial"/>
          <w:sz w:val="23"/>
          <w:szCs w:val="23"/>
        </w:rPr>
        <w:t xml:space="preserve"> </w:t>
      </w:r>
      <w:r w:rsidRPr="004B7BD9">
        <w:rPr>
          <w:rFonts w:ascii="Arial" w:hAnsi="Arial" w:cs="Arial"/>
          <w:b/>
          <w:sz w:val="23"/>
          <w:szCs w:val="23"/>
        </w:rPr>
        <w:t>les députés soient consultés</w:t>
      </w:r>
      <w:r w:rsidRPr="004B7BD9">
        <w:rPr>
          <w:rFonts w:ascii="Arial" w:hAnsi="Arial" w:cs="Arial"/>
          <w:sz w:val="23"/>
          <w:szCs w:val="23"/>
        </w:rPr>
        <w:t>.</w:t>
      </w:r>
    </w:p>
    <w:p w14:paraId="2B4E380A" w14:textId="77777777" w:rsidR="00AB15AD" w:rsidRPr="004B7BD9" w:rsidRDefault="00AB15AD" w:rsidP="00AB15AD">
      <w:pPr>
        <w:pStyle w:val="Paragraphedeliste"/>
        <w:shd w:val="clear" w:color="auto" w:fill="FFFFFF"/>
        <w:spacing w:before="100" w:beforeAutospacing="1" w:after="100"/>
        <w:ind w:left="1080"/>
        <w:jc w:val="both"/>
        <w:rPr>
          <w:rFonts w:ascii="Arial" w:hAnsi="Arial" w:cs="Arial"/>
          <w:sz w:val="23"/>
          <w:szCs w:val="23"/>
        </w:rPr>
      </w:pPr>
    </w:p>
    <w:p w14:paraId="72C89DD6" w14:textId="77777777" w:rsidR="00AB15AD" w:rsidRPr="004B7BD9" w:rsidRDefault="00AB15AD" w:rsidP="00AB15AD">
      <w:pPr>
        <w:pStyle w:val="Paragraphedeliste"/>
        <w:numPr>
          <w:ilvl w:val="0"/>
          <w:numId w:val="1"/>
        </w:numPr>
        <w:jc w:val="both"/>
        <w:rPr>
          <w:rFonts w:ascii="Arial" w:hAnsi="Arial" w:cs="Arial"/>
          <w:sz w:val="23"/>
          <w:szCs w:val="23"/>
        </w:rPr>
      </w:pPr>
      <w:r w:rsidRPr="004B7BD9">
        <w:rPr>
          <w:rFonts w:ascii="Arial" w:hAnsi="Arial" w:cs="Arial"/>
          <w:b/>
          <w:bCs/>
          <w:sz w:val="23"/>
          <w:szCs w:val="23"/>
        </w:rPr>
        <w:t xml:space="preserve">Son rejet </w:t>
      </w:r>
      <w:r w:rsidRPr="004B7BD9">
        <w:rPr>
          <w:rFonts w:ascii="Arial" w:hAnsi="Arial" w:cs="Arial"/>
          <w:sz w:val="23"/>
          <w:szCs w:val="23"/>
        </w:rPr>
        <w:t xml:space="preserve">de la mise en place d’une juridiction nationale </w:t>
      </w:r>
      <w:r w:rsidRPr="004B7BD9">
        <w:rPr>
          <w:rFonts w:ascii="Arial" w:hAnsi="Arial" w:cs="Arial"/>
          <w:b/>
          <w:bCs/>
          <w:sz w:val="23"/>
          <w:szCs w:val="23"/>
        </w:rPr>
        <w:t>unique en matière d’injonctions de payer</w:t>
      </w:r>
      <w:r w:rsidRPr="004B7BD9">
        <w:rPr>
          <w:rFonts w:ascii="Arial" w:hAnsi="Arial" w:cs="Arial"/>
          <w:sz w:val="23"/>
          <w:szCs w:val="23"/>
        </w:rPr>
        <w:t>.</w:t>
      </w:r>
    </w:p>
    <w:p w14:paraId="155C2284" w14:textId="77777777" w:rsidR="00AB15AD" w:rsidRPr="004B7BD9" w:rsidRDefault="00AB15AD" w:rsidP="00AB15AD">
      <w:pPr>
        <w:pStyle w:val="Paragraphedeliste"/>
        <w:shd w:val="clear" w:color="auto" w:fill="FFFFFF"/>
        <w:spacing w:before="100" w:beforeAutospacing="1" w:after="100"/>
        <w:ind w:left="1080"/>
        <w:jc w:val="both"/>
        <w:rPr>
          <w:rFonts w:ascii="Arial" w:hAnsi="Arial" w:cs="Arial"/>
          <w:color w:val="121212"/>
          <w:sz w:val="23"/>
          <w:szCs w:val="23"/>
        </w:rPr>
      </w:pPr>
      <w:r w:rsidRPr="004B7BD9">
        <w:rPr>
          <w:rFonts w:ascii="Arial" w:hAnsi="Arial" w:cs="Arial"/>
          <w:color w:val="121212"/>
          <w:sz w:val="23"/>
          <w:szCs w:val="23"/>
        </w:rPr>
        <w:t xml:space="preserve">Ce type de contentieux particulièrement complexe et à la dimension humaine </w:t>
      </w:r>
      <w:bookmarkStart w:id="0" w:name="_GoBack"/>
      <w:bookmarkEnd w:id="0"/>
      <w:r w:rsidRPr="004B7BD9">
        <w:rPr>
          <w:rFonts w:ascii="Arial" w:hAnsi="Arial" w:cs="Arial"/>
          <w:color w:val="121212"/>
          <w:sz w:val="23"/>
          <w:szCs w:val="23"/>
        </w:rPr>
        <w:t>centrale (en raison du caractère souvent précaire de la situation des personnes concernées) nécessite un traitement attentif et de proximité, aujourd’hui parfaitement rempli par les tribunaux d’instance, et ne saurait faire l’objet d’un traitement automatisé et dématérialisé sans porter gravement atteinte à un égal accès à la justice pour tous et partout.</w:t>
      </w:r>
    </w:p>
    <w:p w14:paraId="0AA4DA87" w14:textId="77777777" w:rsidR="00AB15AD" w:rsidRPr="004B7BD9" w:rsidRDefault="00AB15AD" w:rsidP="00AB15AD">
      <w:pPr>
        <w:pStyle w:val="Paragraphedeliste"/>
        <w:shd w:val="clear" w:color="auto" w:fill="FFFFFF"/>
        <w:spacing w:before="100" w:beforeAutospacing="1" w:after="100"/>
        <w:ind w:left="1080"/>
        <w:jc w:val="both"/>
        <w:rPr>
          <w:rFonts w:ascii="Arial" w:hAnsi="Arial" w:cs="Arial"/>
          <w:color w:val="121212"/>
          <w:sz w:val="23"/>
          <w:szCs w:val="23"/>
        </w:rPr>
      </w:pPr>
      <w:r w:rsidRPr="004B7BD9">
        <w:rPr>
          <w:rFonts w:ascii="Arial" w:hAnsi="Arial" w:cs="Arial"/>
          <w:color w:val="121212"/>
          <w:sz w:val="23"/>
          <w:szCs w:val="23"/>
        </w:rPr>
        <w:t xml:space="preserve">D’une manière générale, l’éloignement du justiciable de son juge naturel va nécessairement transférer l’accueil du citoyen aux collectivités locales, qui devront prendre en charge les conséquences de la fracture numérique. </w:t>
      </w:r>
    </w:p>
    <w:p w14:paraId="716025D6" w14:textId="77777777" w:rsidR="00AB15AD" w:rsidRPr="004B7BD9" w:rsidRDefault="00AB15AD" w:rsidP="00AB15AD">
      <w:pPr>
        <w:pStyle w:val="Paragraphedeliste"/>
        <w:ind w:left="1080"/>
        <w:jc w:val="both"/>
        <w:rPr>
          <w:rFonts w:ascii="Arial" w:hAnsi="Arial" w:cs="Arial"/>
          <w:sz w:val="23"/>
          <w:szCs w:val="23"/>
        </w:rPr>
      </w:pPr>
    </w:p>
    <w:p w14:paraId="109876CF" w14:textId="77777777" w:rsidR="00AB15AD" w:rsidRPr="004B7BD9" w:rsidRDefault="00AB15AD" w:rsidP="00AB15AD">
      <w:pPr>
        <w:pStyle w:val="Paragraphedeliste"/>
        <w:numPr>
          <w:ilvl w:val="0"/>
          <w:numId w:val="1"/>
        </w:numPr>
        <w:jc w:val="both"/>
        <w:rPr>
          <w:rFonts w:ascii="Arial" w:hAnsi="Arial" w:cs="Arial"/>
          <w:sz w:val="23"/>
          <w:szCs w:val="23"/>
        </w:rPr>
      </w:pPr>
      <w:r w:rsidRPr="004B7BD9">
        <w:rPr>
          <w:rFonts w:ascii="Arial" w:hAnsi="Arial" w:cs="Arial"/>
          <w:bCs/>
          <w:sz w:val="23"/>
          <w:szCs w:val="23"/>
        </w:rPr>
        <w:t>Tout comme celui de la création d’une</w:t>
      </w:r>
      <w:r w:rsidRPr="004B7BD9">
        <w:rPr>
          <w:rFonts w:ascii="Arial" w:hAnsi="Arial" w:cs="Arial"/>
          <w:b/>
          <w:bCs/>
          <w:sz w:val="23"/>
          <w:szCs w:val="23"/>
        </w:rPr>
        <w:t xml:space="preserve"> juridiction unique pour les victimes d’attentats terroristes</w:t>
      </w:r>
      <w:r w:rsidRPr="004B7BD9">
        <w:rPr>
          <w:rFonts w:ascii="Arial" w:hAnsi="Arial" w:cs="Arial"/>
          <w:bCs/>
          <w:sz w:val="23"/>
          <w:szCs w:val="23"/>
        </w:rPr>
        <w:t xml:space="preserve"> qui imposerait à la victime de se déplacer pour son procès et qui entrainerait par la même occasion un surcoût substantiel à la charge de l’Etat pour sa prise en charge.</w:t>
      </w:r>
    </w:p>
    <w:p w14:paraId="4412A49D" w14:textId="77777777" w:rsidR="00AB15AD" w:rsidRPr="004B7BD9" w:rsidRDefault="00AB15AD" w:rsidP="00AB15AD">
      <w:pPr>
        <w:pStyle w:val="Paragraphedeliste"/>
        <w:ind w:left="1080"/>
        <w:jc w:val="both"/>
        <w:rPr>
          <w:rFonts w:ascii="Arial" w:hAnsi="Arial" w:cs="Arial"/>
          <w:sz w:val="23"/>
          <w:szCs w:val="23"/>
        </w:rPr>
      </w:pPr>
      <w:r w:rsidRPr="004B7BD9">
        <w:rPr>
          <w:rFonts w:ascii="Arial" w:hAnsi="Arial" w:cs="Arial"/>
          <w:sz w:val="23"/>
          <w:szCs w:val="23"/>
        </w:rPr>
        <w:t xml:space="preserve">                                                                                                                                                   </w:t>
      </w:r>
    </w:p>
    <w:p w14:paraId="187E4359" w14:textId="2A33A60A" w:rsidR="004B7BD9" w:rsidRPr="004B7BD9" w:rsidRDefault="004B7BD9" w:rsidP="00AB15AD">
      <w:pPr>
        <w:pStyle w:val="Paragraphedeliste"/>
        <w:numPr>
          <w:ilvl w:val="0"/>
          <w:numId w:val="1"/>
        </w:numPr>
        <w:jc w:val="both"/>
        <w:rPr>
          <w:rFonts w:ascii="Arial" w:hAnsi="Arial" w:cs="Arial"/>
          <w:b/>
          <w:sz w:val="23"/>
          <w:szCs w:val="23"/>
        </w:rPr>
      </w:pPr>
      <w:r>
        <w:rPr>
          <w:rFonts w:ascii="Arial" w:hAnsi="Arial" w:cs="Arial"/>
          <w:b/>
          <w:sz w:val="23"/>
          <w:szCs w:val="23"/>
        </w:rPr>
        <w:t>Son opposition à l</w:t>
      </w:r>
      <w:r w:rsidRPr="004B7BD9">
        <w:rPr>
          <w:rFonts w:ascii="Arial" w:hAnsi="Arial" w:cs="Arial"/>
          <w:b/>
          <w:sz w:val="23"/>
          <w:szCs w:val="23"/>
        </w:rPr>
        <w:t>’expérimentation d'un tribunal criminel départemental.</w:t>
      </w:r>
    </w:p>
    <w:p w14:paraId="6AB72DD4" w14:textId="77777777" w:rsidR="004B7BD9" w:rsidRPr="004B7BD9" w:rsidRDefault="004B7BD9" w:rsidP="004B7BD9">
      <w:pPr>
        <w:pStyle w:val="Paragraphedeliste"/>
        <w:rPr>
          <w:rFonts w:ascii="Arial" w:hAnsi="Arial" w:cs="Arial"/>
          <w:sz w:val="23"/>
          <w:szCs w:val="23"/>
        </w:rPr>
      </w:pPr>
    </w:p>
    <w:p w14:paraId="7DD0BDC6" w14:textId="77777777" w:rsidR="004B7BD9" w:rsidRPr="004B7BD9" w:rsidRDefault="004B7BD9" w:rsidP="004B7BD9">
      <w:pPr>
        <w:ind w:left="1080"/>
        <w:jc w:val="both"/>
        <w:rPr>
          <w:rFonts w:ascii="Arial" w:hAnsi="Arial" w:cs="Arial"/>
          <w:sz w:val="23"/>
          <w:szCs w:val="23"/>
        </w:rPr>
      </w:pPr>
      <w:r w:rsidRPr="004B7BD9">
        <w:rPr>
          <w:rFonts w:ascii="Arial" w:hAnsi="Arial" w:cs="Arial"/>
          <w:sz w:val="23"/>
          <w:szCs w:val="23"/>
          <w:lang w:eastAsia="fr-FR"/>
        </w:rPr>
        <w:t xml:space="preserve">L’institution de ces tribunaux revient, sous couvert de simplification et de rationalisation, à </w:t>
      </w:r>
      <w:r w:rsidRPr="004B7BD9">
        <w:rPr>
          <w:rFonts w:ascii="Arial" w:hAnsi="Arial" w:cs="Arial"/>
          <w:sz w:val="23"/>
          <w:szCs w:val="23"/>
        </w:rPr>
        <w:t>instaurer de « petits crimes », comme le viol où le droit des victimes à un procès sera réduit. </w:t>
      </w:r>
    </w:p>
    <w:p w14:paraId="4C0D49AB" w14:textId="77777777" w:rsidR="004B7BD9" w:rsidRPr="004B7BD9" w:rsidRDefault="004B7BD9" w:rsidP="004B7BD9">
      <w:pPr>
        <w:ind w:left="1080"/>
        <w:jc w:val="both"/>
        <w:rPr>
          <w:rFonts w:ascii="Arial" w:hAnsi="Arial" w:cs="Arial"/>
          <w:sz w:val="23"/>
          <w:szCs w:val="23"/>
        </w:rPr>
      </w:pPr>
      <w:r w:rsidRPr="004B7BD9">
        <w:rPr>
          <w:rFonts w:ascii="Arial" w:hAnsi="Arial" w:cs="Arial"/>
          <w:sz w:val="23"/>
          <w:szCs w:val="23"/>
        </w:rPr>
        <w:t>En effet, le traitement des viols par le tribunal criminel départemental va correctionnaliser les affaires judiciaires et constituerait un recul dans la considération portée aux droits des victimes, en particulier les femmes et les enfants. </w:t>
      </w:r>
    </w:p>
    <w:p w14:paraId="34CFFEF6" w14:textId="77777777" w:rsidR="004B7BD9" w:rsidRPr="004B7BD9" w:rsidRDefault="004B7BD9" w:rsidP="004B7BD9">
      <w:pPr>
        <w:ind w:left="1080"/>
        <w:jc w:val="both"/>
        <w:rPr>
          <w:rFonts w:ascii="Arial" w:hAnsi="Arial" w:cs="Arial"/>
          <w:sz w:val="23"/>
          <w:szCs w:val="23"/>
        </w:rPr>
      </w:pPr>
      <w:r w:rsidRPr="004B7BD9">
        <w:rPr>
          <w:rFonts w:ascii="Arial" w:hAnsi="Arial" w:cs="Arial"/>
          <w:sz w:val="23"/>
          <w:szCs w:val="23"/>
        </w:rPr>
        <w:t>En outre, à l'heure de la libération de la parole féminine quant aux agressions et viols dont elles sont victimes, le message politique de cet article irait à rebours des évolutions sociétales.</w:t>
      </w:r>
    </w:p>
    <w:p w14:paraId="2A74F50A" w14:textId="77777777" w:rsidR="004B7BD9" w:rsidRPr="004B7BD9" w:rsidRDefault="004B7BD9" w:rsidP="004B7BD9">
      <w:pPr>
        <w:ind w:left="1080"/>
        <w:jc w:val="both"/>
        <w:rPr>
          <w:rFonts w:ascii="Arial" w:hAnsi="Arial" w:cs="Arial"/>
          <w:sz w:val="23"/>
          <w:szCs w:val="23"/>
        </w:rPr>
      </w:pPr>
      <w:r w:rsidRPr="004B7BD9">
        <w:rPr>
          <w:rFonts w:ascii="Arial" w:hAnsi="Arial" w:cs="Arial"/>
          <w:sz w:val="23"/>
          <w:szCs w:val="23"/>
        </w:rPr>
        <w:t>Enfin, le recours au tribunal criminel départemental portera atteinte à la justice du peuple en réduisant le rôle de la Cour d'assises.</w:t>
      </w:r>
    </w:p>
    <w:p w14:paraId="3EEA659B" w14:textId="77777777" w:rsidR="004B7BD9" w:rsidRPr="004B7BD9" w:rsidRDefault="004B7BD9" w:rsidP="004B7BD9">
      <w:pPr>
        <w:pStyle w:val="Paragraphedeliste"/>
        <w:rPr>
          <w:rFonts w:ascii="Arial" w:hAnsi="Arial" w:cs="Arial"/>
          <w:b/>
          <w:bCs/>
          <w:sz w:val="23"/>
          <w:szCs w:val="23"/>
        </w:rPr>
      </w:pPr>
    </w:p>
    <w:p w14:paraId="1A41E478" w14:textId="465726F4" w:rsidR="00AB15AD" w:rsidRPr="004B7BD9" w:rsidRDefault="00AB15AD" w:rsidP="00AB15AD">
      <w:pPr>
        <w:pStyle w:val="Paragraphedeliste"/>
        <w:numPr>
          <w:ilvl w:val="0"/>
          <w:numId w:val="1"/>
        </w:numPr>
        <w:jc w:val="both"/>
        <w:rPr>
          <w:rFonts w:ascii="Arial" w:hAnsi="Arial" w:cs="Arial"/>
          <w:sz w:val="23"/>
          <w:szCs w:val="23"/>
        </w:rPr>
      </w:pPr>
      <w:r w:rsidRPr="004B7BD9">
        <w:rPr>
          <w:rFonts w:ascii="Arial" w:hAnsi="Arial" w:cs="Arial"/>
          <w:b/>
          <w:bCs/>
          <w:sz w:val="23"/>
          <w:szCs w:val="23"/>
        </w:rPr>
        <w:t>Son opposition à l’attribution aux décisions de directeurs de CAF de la force exécutoire</w:t>
      </w:r>
      <w:r w:rsidRPr="004B7BD9">
        <w:rPr>
          <w:rFonts w:ascii="Arial" w:hAnsi="Arial" w:cs="Arial"/>
          <w:sz w:val="23"/>
          <w:szCs w:val="23"/>
        </w:rPr>
        <w:t xml:space="preserve"> en matière de modification des pensions alimentaires.</w:t>
      </w:r>
    </w:p>
    <w:p w14:paraId="6CE6835E" w14:textId="77777777" w:rsidR="00AB15AD" w:rsidRPr="004B7BD9" w:rsidRDefault="00AB15AD" w:rsidP="00AB15AD">
      <w:pPr>
        <w:pStyle w:val="Paragraphedeliste"/>
        <w:ind w:left="1080"/>
        <w:jc w:val="both"/>
        <w:rPr>
          <w:rFonts w:ascii="Arial" w:hAnsi="Arial" w:cs="Arial"/>
          <w:color w:val="121212"/>
          <w:sz w:val="23"/>
          <w:szCs w:val="23"/>
        </w:rPr>
      </w:pPr>
    </w:p>
    <w:p w14:paraId="631D67B8" w14:textId="77777777" w:rsidR="00AB15AD" w:rsidRPr="004B7BD9" w:rsidRDefault="00AB15AD" w:rsidP="00AB15AD">
      <w:pPr>
        <w:pStyle w:val="Paragraphedeliste"/>
        <w:ind w:left="1080"/>
        <w:jc w:val="both"/>
        <w:rPr>
          <w:rFonts w:ascii="Arial" w:hAnsi="Arial" w:cs="Arial"/>
          <w:sz w:val="23"/>
          <w:szCs w:val="23"/>
        </w:rPr>
      </w:pPr>
      <w:r w:rsidRPr="004B7BD9">
        <w:rPr>
          <w:rFonts w:ascii="Arial" w:hAnsi="Arial" w:cs="Arial"/>
          <w:color w:val="121212"/>
          <w:sz w:val="23"/>
          <w:szCs w:val="23"/>
        </w:rPr>
        <w:t xml:space="preserve">En accordant, sous couvert d’une volonté de déjudiciarisation, la possibilité aux directeurs des CAF de réviser une pension alimentaire, le projet de loi autorise qu’une décision de justice soit modifiée par un organisme de droit privé sur la base d’un barème et sans garantie d’assistance du justiciable. </w:t>
      </w:r>
    </w:p>
    <w:p w14:paraId="7A20DB80" w14:textId="77777777" w:rsidR="00AB15AD" w:rsidRPr="004B7BD9" w:rsidRDefault="00AB15AD" w:rsidP="00AB15AD">
      <w:pPr>
        <w:pStyle w:val="Paragraphedeliste"/>
        <w:shd w:val="clear" w:color="auto" w:fill="FFFFFF"/>
        <w:spacing w:before="100" w:beforeAutospacing="1" w:after="100"/>
        <w:ind w:left="1080"/>
        <w:jc w:val="both"/>
        <w:rPr>
          <w:rFonts w:ascii="Arial" w:hAnsi="Arial" w:cs="Arial"/>
          <w:color w:val="121212"/>
          <w:sz w:val="23"/>
          <w:szCs w:val="23"/>
        </w:rPr>
      </w:pPr>
      <w:r w:rsidRPr="004B7BD9">
        <w:rPr>
          <w:rFonts w:ascii="Arial" w:hAnsi="Arial" w:cs="Arial"/>
          <w:color w:val="121212"/>
          <w:sz w:val="23"/>
          <w:szCs w:val="23"/>
        </w:rPr>
        <w:t>De plus, cette disposition est contraire aux dispositions du Règlement Européen 4/2009 et au principe d’impartialité du juge, le directeur de CAF étant placé, de fait, dans la position d’être juge et parti.</w:t>
      </w:r>
    </w:p>
    <w:p w14:paraId="5991BFA6" w14:textId="77777777" w:rsidR="00AB15AD" w:rsidRPr="004B7BD9" w:rsidRDefault="00AB15AD" w:rsidP="00AB15AD">
      <w:pPr>
        <w:pStyle w:val="Paragraphedeliste"/>
        <w:ind w:left="1080"/>
        <w:jc w:val="both"/>
        <w:rPr>
          <w:rFonts w:ascii="Arial" w:hAnsi="Arial" w:cs="Arial"/>
          <w:sz w:val="23"/>
          <w:szCs w:val="23"/>
        </w:rPr>
      </w:pPr>
    </w:p>
    <w:p w14:paraId="477230C6" w14:textId="77777777" w:rsidR="00AB15AD" w:rsidRPr="004B7BD9" w:rsidRDefault="00AB15AD" w:rsidP="00AB15AD">
      <w:pPr>
        <w:pStyle w:val="Paragraphedeliste"/>
        <w:numPr>
          <w:ilvl w:val="0"/>
          <w:numId w:val="1"/>
        </w:numPr>
        <w:jc w:val="both"/>
        <w:rPr>
          <w:rFonts w:ascii="Arial" w:hAnsi="Arial" w:cs="Arial"/>
          <w:sz w:val="23"/>
          <w:szCs w:val="23"/>
        </w:rPr>
      </w:pPr>
      <w:r w:rsidRPr="004B7BD9">
        <w:rPr>
          <w:rFonts w:ascii="Arial" w:hAnsi="Arial" w:cs="Arial"/>
          <w:sz w:val="23"/>
          <w:szCs w:val="23"/>
        </w:rPr>
        <w:t xml:space="preserve">Son soutien de l’octroi de </w:t>
      </w:r>
      <w:r w:rsidRPr="004B7BD9">
        <w:rPr>
          <w:rFonts w:ascii="Arial" w:hAnsi="Arial" w:cs="Arial"/>
          <w:b/>
          <w:bCs/>
          <w:sz w:val="23"/>
          <w:szCs w:val="23"/>
        </w:rPr>
        <w:t xml:space="preserve">la force exécutoire à l’acte d’avocat </w:t>
      </w:r>
      <w:r w:rsidRPr="004B7BD9">
        <w:rPr>
          <w:rFonts w:ascii="Arial" w:hAnsi="Arial" w:cs="Arial"/>
          <w:bCs/>
          <w:sz w:val="23"/>
          <w:szCs w:val="23"/>
        </w:rPr>
        <w:t>(à ce jour seuls quelques actes tels que le divorce par consentement mutuel ou la taxation des honoraires sont concernés). Le gouvernement initie un mouvement de déjudiciarisation sans conférer aux avocats les moyens d’accompagner ce mouvement.</w:t>
      </w:r>
    </w:p>
    <w:p w14:paraId="02C6043C" w14:textId="77777777" w:rsidR="00AB15AD" w:rsidRPr="004B7BD9" w:rsidRDefault="00AB15AD" w:rsidP="00AB15AD">
      <w:pPr>
        <w:jc w:val="both"/>
        <w:rPr>
          <w:rFonts w:ascii="Arial" w:hAnsi="Arial" w:cs="Arial"/>
          <w:sz w:val="23"/>
          <w:szCs w:val="23"/>
        </w:rPr>
      </w:pPr>
    </w:p>
    <w:p w14:paraId="019D1F48" w14:textId="77777777" w:rsidR="00AB15AD" w:rsidRPr="004B7BD9" w:rsidRDefault="00AB15AD" w:rsidP="00AB15AD">
      <w:pPr>
        <w:jc w:val="both"/>
        <w:rPr>
          <w:rFonts w:ascii="Arial" w:hAnsi="Arial" w:cs="Arial"/>
          <w:sz w:val="23"/>
          <w:szCs w:val="23"/>
        </w:rPr>
      </w:pPr>
      <w:r w:rsidRPr="004B7BD9">
        <w:rPr>
          <w:rFonts w:ascii="Arial" w:hAnsi="Arial" w:cs="Arial"/>
          <w:sz w:val="23"/>
          <w:szCs w:val="23"/>
        </w:rPr>
        <w:t>En conséquent, nous appelons avec force et solennité au vote des amendements.</w:t>
      </w:r>
    </w:p>
    <w:p w14:paraId="03C5CA74" w14:textId="77777777" w:rsidR="00AB15AD" w:rsidRPr="004B7BD9" w:rsidRDefault="00AB15AD" w:rsidP="00AB15AD">
      <w:pPr>
        <w:jc w:val="both"/>
        <w:rPr>
          <w:rFonts w:ascii="Arial" w:hAnsi="Arial" w:cs="Arial"/>
          <w:sz w:val="23"/>
          <w:szCs w:val="23"/>
        </w:rPr>
      </w:pPr>
    </w:p>
    <w:p w14:paraId="55F47E94" w14:textId="77777777" w:rsidR="00AB15AD" w:rsidRPr="004B7BD9" w:rsidRDefault="00AB15AD" w:rsidP="00AB15AD">
      <w:pPr>
        <w:jc w:val="both"/>
        <w:rPr>
          <w:rFonts w:ascii="Arial" w:hAnsi="Arial" w:cs="Arial"/>
          <w:sz w:val="23"/>
          <w:szCs w:val="23"/>
        </w:rPr>
      </w:pPr>
      <w:r w:rsidRPr="004B7BD9">
        <w:rPr>
          <w:rFonts w:ascii="Arial" w:hAnsi="Arial" w:cs="Arial"/>
          <w:sz w:val="23"/>
          <w:szCs w:val="23"/>
        </w:rPr>
        <w:t>Fait à Mamoudzou, le 15 novembre 2018</w:t>
      </w:r>
    </w:p>
    <w:p w14:paraId="1FA8D48E" w14:textId="3391CEF1" w:rsidR="00A3529E" w:rsidRDefault="00A3529E">
      <w:pPr>
        <w:rPr>
          <w:rFonts w:ascii="Arial" w:hAnsi="Arial" w:cs="Arial"/>
          <w:sz w:val="23"/>
          <w:szCs w:val="23"/>
        </w:rPr>
      </w:pPr>
    </w:p>
    <w:p w14:paraId="7BBCC6A5" w14:textId="141D92A4" w:rsidR="004B7BD9" w:rsidRPr="004B7BD9" w:rsidRDefault="004B7BD9" w:rsidP="004B7BD9">
      <w:pPr>
        <w:jc w:val="both"/>
        <w:rPr>
          <w:rFonts w:ascii="Arial" w:hAnsi="Arial" w:cs="Arial"/>
          <w:sz w:val="23"/>
          <w:szCs w:val="23"/>
        </w:rPr>
      </w:pPr>
    </w:p>
    <w:p w14:paraId="32D1FFE7" w14:textId="77777777" w:rsidR="00AB15AD" w:rsidRPr="004B7BD9" w:rsidRDefault="00AB15AD">
      <w:pPr>
        <w:rPr>
          <w:rFonts w:ascii="Arial" w:hAnsi="Arial" w:cs="Arial"/>
        </w:rPr>
      </w:pPr>
    </w:p>
    <w:sectPr w:rsidR="00AB15AD" w:rsidRPr="004B7BD9" w:rsidSect="0070620E">
      <w:headerReference w:type="default" r:id="rId8"/>
      <w:footerReference w:type="even" r:id="rId9"/>
      <w:footerReference w:type="default" r:id="rId10"/>
      <w:footnotePr>
        <w:pos w:val="beneathText"/>
      </w:footnotePr>
      <w:pgSz w:w="11905" w:h="16837" w:code="9"/>
      <w:pgMar w:top="1134" w:right="1134" w:bottom="1134" w:left="1134" w:header="624" w:footer="284" w:gutter="0"/>
      <w:cols w:space="720"/>
      <w:docGrid w:linePitch="36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D22F8" w14:textId="77777777" w:rsidR="00000000" w:rsidRDefault="004E46FF">
      <w:r>
        <w:separator/>
      </w:r>
    </w:p>
  </w:endnote>
  <w:endnote w:type="continuationSeparator" w:id="0">
    <w:p w14:paraId="4D398062" w14:textId="77777777" w:rsidR="00000000" w:rsidRDefault="004E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ndale Sans UI">
    <w:charset w:val="00"/>
    <w:family w:val="auto"/>
    <w:pitch w:val="variable"/>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Webdings">
    <w:panose1 w:val="05030102010509060703"/>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C6F9D" w14:textId="77777777" w:rsidR="00827667" w:rsidRDefault="004B7BD9" w:rsidP="007A254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222A14C" w14:textId="77777777" w:rsidR="00827667" w:rsidRDefault="004E46FF" w:rsidP="003E1671">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992DD" w14:textId="77777777" w:rsidR="00827667" w:rsidRDefault="004E46FF" w:rsidP="006C5F7A">
    <w:pPr>
      <w:pStyle w:val="En-tte"/>
      <w:jc w:val="center"/>
      <w:rPr>
        <w:rFonts w:ascii="Webdings" w:eastAsia="Webdings" w:hAnsi="Webdings" w:cs="Webdings"/>
      </w:rPr>
    </w:pPr>
  </w:p>
  <w:p w14:paraId="0D1423B0" w14:textId="77777777" w:rsidR="00827667" w:rsidRDefault="004E46FF" w:rsidP="006C5F7A">
    <w:pPr>
      <w:pStyle w:val="En-tte"/>
      <w:jc w:val="center"/>
      <w:rPr>
        <w:rFonts w:ascii="Webdings" w:eastAsia="Webdings" w:hAnsi="Webdings" w:cs="Webdings"/>
      </w:rPr>
    </w:pPr>
  </w:p>
  <w:p w14:paraId="58A9C159" w14:textId="77777777" w:rsidR="00827667" w:rsidRDefault="004B7BD9" w:rsidP="006C5F7A">
    <w:pPr>
      <w:pStyle w:val="En-tte"/>
      <w:jc w:val="center"/>
    </w:pPr>
    <w:r>
      <w:rPr>
        <w:rFonts w:ascii="Webdings" w:eastAsia="Webdings" w:hAnsi="Webdings" w:cs="Webdings"/>
      </w:rPr>
      <w:t></w:t>
    </w:r>
    <w:r>
      <w:t xml:space="preserve"> – </w:t>
    </w:r>
    <w:r>
      <w:rPr>
        <w:rFonts w:ascii="Webdings" w:eastAsia="Webdings" w:hAnsi="Webdings" w:cs="Webdings"/>
      </w:rPr>
      <w:t></w:t>
    </w:r>
    <w:r>
      <w:t> : 02.69.60.52.13</w:t>
    </w:r>
  </w:p>
  <w:p w14:paraId="036B45D5" w14:textId="77777777" w:rsidR="00827667" w:rsidRDefault="004E46FF" w:rsidP="006C5F7A">
    <w:pPr>
      <w:pStyle w:val="En-tte"/>
      <w:rPr>
        <w:rFonts w:ascii="Webdings" w:eastAsia="Webdings" w:hAnsi="Webdings" w:cs="Webdings"/>
      </w:rPr>
    </w:pPr>
  </w:p>
  <w:p w14:paraId="4562AF55" w14:textId="77777777" w:rsidR="00827667" w:rsidRDefault="004E46FF" w:rsidP="006C5F7A">
    <w:pPr>
      <w:pStyle w:val="En-tte"/>
      <w:rPr>
        <w:rFonts w:ascii="Webdings" w:eastAsia="Webdings" w:hAnsi="Webdings" w:cs="Webdings"/>
      </w:rPr>
    </w:pPr>
  </w:p>
  <w:p w14:paraId="75ED1722" w14:textId="77777777" w:rsidR="00827667" w:rsidRDefault="004E46F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CB46C" w14:textId="77777777" w:rsidR="00000000" w:rsidRDefault="004E46FF">
      <w:r>
        <w:separator/>
      </w:r>
    </w:p>
  </w:footnote>
  <w:footnote w:type="continuationSeparator" w:id="0">
    <w:p w14:paraId="6BAD58A8" w14:textId="77777777" w:rsidR="00000000" w:rsidRDefault="004E46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353DB" w14:textId="77777777" w:rsidR="00827667" w:rsidRDefault="00AB15AD">
    <w:pPr>
      <w:pStyle w:val="En-tte"/>
      <w:pBdr>
        <w:top w:val="single" w:sz="4" w:space="1" w:color="000000"/>
        <w:left w:val="single" w:sz="4" w:space="4" w:color="000000"/>
        <w:bottom w:val="single" w:sz="4" w:space="1" w:color="000000"/>
        <w:right w:val="single" w:sz="4" w:space="4" w:color="000000"/>
      </w:pBdr>
      <w:jc w:val="center"/>
      <w:rPr>
        <w:b/>
        <w:i/>
      </w:rPr>
    </w:pPr>
    <w:r>
      <w:rPr>
        <w:noProof/>
        <w:lang w:eastAsia="fr-FR"/>
      </w:rPr>
      <w:drawing>
        <wp:anchor distT="0" distB="0" distL="0" distR="0" simplePos="0" relativeHeight="251659264" behindDoc="0" locked="0" layoutInCell="1" allowOverlap="1" wp14:anchorId="3D26D9A6" wp14:editId="16789631">
          <wp:simplePos x="0" y="0"/>
          <wp:positionH relativeFrom="column">
            <wp:posOffset>3175</wp:posOffset>
          </wp:positionH>
          <wp:positionV relativeFrom="paragraph">
            <wp:posOffset>28575</wp:posOffset>
          </wp:positionV>
          <wp:extent cx="1598295" cy="1296035"/>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295" cy="12960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B7BD9">
      <w:rPr>
        <w:b/>
        <w:i/>
      </w:rPr>
      <w:tab/>
    </w:r>
  </w:p>
  <w:p w14:paraId="2EA4C270" w14:textId="77777777" w:rsidR="00827667" w:rsidRPr="004E46FF" w:rsidRDefault="004B7BD9">
    <w:pPr>
      <w:pStyle w:val="En-tte"/>
      <w:pBdr>
        <w:top w:val="single" w:sz="4" w:space="1" w:color="000000"/>
        <w:left w:val="single" w:sz="4" w:space="4" w:color="000000"/>
        <w:bottom w:val="single" w:sz="4" w:space="1" w:color="000000"/>
        <w:right w:val="single" w:sz="4" w:space="4" w:color="000000"/>
      </w:pBdr>
      <w:jc w:val="center"/>
      <w:rPr>
        <w:b/>
        <w:i/>
        <w:iCs/>
        <w:sz w:val="64"/>
        <w:szCs w:val="64"/>
        <w14:shadow w14:blurRad="50800" w14:dist="38100" w14:dir="2700000" w14:sx="100000" w14:sy="100000" w14:kx="0" w14:ky="0" w14:algn="tl">
          <w14:srgbClr w14:val="000000">
            <w14:alpha w14:val="60000"/>
          </w14:srgbClr>
        </w14:shadow>
      </w:rPr>
    </w:pPr>
    <w:r w:rsidRPr="004E46FF">
      <w:rPr>
        <w:b/>
        <w:i/>
        <w:iCs/>
        <w14:shadow w14:blurRad="50800" w14:dist="38100" w14:dir="2700000" w14:sx="100000" w14:sy="100000" w14:kx="0" w14:ky="0" w14:algn="tl">
          <w14:srgbClr w14:val="000000">
            <w14:alpha w14:val="60000"/>
          </w14:srgbClr>
        </w14:shadow>
      </w:rPr>
      <w:tab/>
      <w:t xml:space="preserve">                         </w:t>
    </w:r>
    <w:r w:rsidRPr="004E46FF">
      <w:rPr>
        <w:b/>
        <w:i/>
        <w:iCs/>
        <w:sz w:val="64"/>
        <w:szCs w:val="64"/>
        <w14:shadow w14:blurRad="50800" w14:dist="38100" w14:dir="2700000" w14:sx="100000" w14:sy="100000" w14:kx="0" w14:ky="0" w14:algn="tl">
          <w14:srgbClr w14:val="000000">
            <w14:alpha w14:val="60000"/>
          </w14:srgbClr>
        </w14:shadow>
      </w:rPr>
      <w:t>Ordre des Avocats</w:t>
    </w:r>
  </w:p>
  <w:p w14:paraId="01C42047" w14:textId="77777777" w:rsidR="00827667" w:rsidRDefault="004B7BD9">
    <w:pPr>
      <w:pStyle w:val="En-tte"/>
      <w:pBdr>
        <w:top w:val="single" w:sz="4" w:space="1" w:color="000000"/>
        <w:left w:val="single" w:sz="4" w:space="4" w:color="000000"/>
        <w:bottom w:val="single" w:sz="4" w:space="1" w:color="000000"/>
        <w:right w:val="single" w:sz="4" w:space="4" w:color="000000"/>
      </w:pBdr>
      <w:tabs>
        <w:tab w:val="clear" w:pos="4536"/>
        <w:tab w:val="left" w:pos="3760"/>
        <w:tab w:val="left" w:pos="3800"/>
      </w:tabs>
      <w:jc w:val="center"/>
      <w:rPr>
        <w:i/>
      </w:rPr>
    </w:pPr>
    <w:r>
      <w:rPr>
        <w:i/>
      </w:rPr>
      <w:t xml:space="preserve">                                            Palais de Justice – Zone NEL</w:t>
    </w:r>
  </w:p>
  <w:p w14:paraId="5C16F23F" w14:textId="77777777" w:rsidR="00827667" w:rsidRDefault="004B7BD9">
    <w:pPr>
      <w:pStyle w:val="En-tte"/>
      <w:pBdr>
        <w:top w:val="single" w:sz="4" w:space="1" w:color="000000"/>
        <w:left w:val="single" w:sz="4" w:space="4" w:color="000000"/>
        <w:bottom w:val="single" w:sz="4" w:space="1" w:color="000000"/>
        <w:right w:val="single" w:sz="4" w:space="4" w:color="000000"/>
      </w:pBdr>
      <w:tabs>
        <w:tab w:val="clear" w:pos="4536"/>
        <w:tab w:val="left" w:pos="3760"/>
        <w:tab w:val="left" w:pos="3800"/>
      </w:tabs>
      <w:jc w:val="center"/>
      <w:rPr>
        <w:i/>
      </w:rPr>
    </w:pPr>
    <w:r>
      <w:rPr>
        <w:i/>
      </w:rPr>
      <w:t xml:space="preserve">                                              Route Nationale de Kawéni</w:t>
    </w:r>
  </w:p>
  <w:p w14:paraId="77584C67" w14:textId="77777777" w:rsidR="00827667" w:rsidRDefault="004B7BD9">
    <w:pPr>
      <w:pStyle w:val="En-tte"/>
      <w:pBdr>
        <w:top w:val="single" w:sz="4" w:space="1" w:color="000000"/>
        <w:left w:val="single" w:sz="4" w:space="4" w:color="000000"/>
        <w:bottom w:val="single" w:sz="4" w:space="1" w:color="000000"/>
        <w:right w:val="single" w:sz="4" w:space="4" w:color="000000"/>
      </w:pBdr>
      <w:tabs>
        <w:tab w:val="clear" w:pos="4536"/>
        <w:tab w:val="left" w:pos="3800"/>
      </w:tabs>
      <w:jc w:val="center"/>
      <w:rPr>
        <w:i/>
      </w:rPr>
    </w:pPr>
    <w:r>
      <w:rPr>
        <w:i/>
      </w:rPr>
      <w:t xml:space="preserve">                                         97600 Mamoudzou</w:t>
    </w:r>
  </w:p>
  <w:p w14:paraId="11780362" w14:textId="77777777" w:rsidR="00827667" w:rsidRDefault="004E46FF">
    <w:pPr>
      <w:pStyle w:val="En-tte"/>
      <w:pBdr>
        <w:top w:val="single" w:sz="4" w:space="1" w:color="000000"/>
        <w:left w:val="single" w:sz="4" w:space="4" w:color="000000"/>
        <w:bottom w:val="single" w:sz="4" w:space="1" w:color="000000"/>
        <w:right w:val="single" w:sz="4" w:space="4" w:color="000000"/>
      </w:pBdr>
      <w:tabs>
        <w:tab w:val="clear" w:pos="4536"/>
        <w:tab w:val="left" w:pos="3800"/>
      </w:tabs>
      <w:jc w:val="center"/>
      <w:rPr>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B796F"/>
    <w:multiLevelType w:val="hybridMultilevel"/>
    <w:tmpl w:val="55E0C390"/>
    <w:lvl w:ilvl="0" w:tplc="D64A66C6">
      <w:numFmt w:val="bullet"/>
      <w:lvlText w:val="-"/>
      <w:lvlJc w:val="left"/>
      <w:pPr>
        <w:ind w:left="1080" w:hanging="360"/>
      </w:pPr>
      <w:rPr>
        <w:rFonts w:ascii="Arial Narrow" w:eastAsia="Times New Roman" w:hAnsi="Arial Narrow" w:cs="Calibri"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5AD"/>
    <w:rsid w:val="00061561"/>
    <w:rsid w:val="002779EC"/>
    <w:rsid w:val="003356D6"/>
    <w:rsid w:val="004B7BD9"/>
    <w:rsid w:val="004E46FF"/>
    <w:rsid w:val="004E6472"/>
    <w:rsid w:val="009042F9"/>
    <w:rsid w:val="00A3529E"/>
    <w:rsid w:val="00AB15AD"/>
    <w:rsid w:val="00DE750A"/>
    <w:rsid w:val="00E9499D"/>
    <w:rsid w:val="00F669B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A1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5AD"/>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B15AD"/>
    <w:pPr>
      <w:tabs>
        <w:tab w:val="center" w:pos="4536"/>
        <w:tab w:val="right" w:pos="9072"/>
      </w:tabs>
    </w:pPr>
  </w:style>
  <w:style w:type="character" w:customStyle="1" w:styleId="En-tteCar">
    <w:name w:val="En-tête Car"/>
    <w:basedOn w:val="Policepardfaut"/>
    <w:link w:val="En-tte"/>
    <w:rsid w:val="00AB15AD"/>
    <w:rPr>
      <w:rFonts w:ascii="Times New Roman" w:eastAsia="Times New Roman" w:hAnsi="Times New Roman" w:cs="Times New Roman"/>
      <w:sz w:val="24"/>
      <w:szCs w:val="24"/>
      <w:lang w:eastAsia="ar-SA"/>
    </w:rPr>
  </w:style>
  <w:style w:type="paragraph" w:styleId="Pieddepage">
    <w:name w:val="footer"/>
    <w:basedOn w:val="Normal"/>
    <w:link w:val="PieddepageCar"/>
    <w:rsid w:val="00AB15AD"/>
    <w:pPr>
      <w:suppressLineNumbers/>
      <w:tabs>
        <w:tab w:val="center" w:pos="4535"/>
        <w:tab w:val="right" w:pos="9071"/>
      </w:tabs>
    </w:pPr>
  </w:style>
  <w:style w:type="character" w:customStyle="1" w:styleId="PieddepageCar">
    <w:name w:val="Pied de page Car"/>
    <w:basedOn w:val="Policepardfaut"/>
    <w:link w:val="Pieddepage"/>
    <w:rsid w:val="00AB15AD"/>
    <w:rPr>
      <w:rFonts w:ascii="Times New Roman" w:eastAsia="Times New Roman" w:hAnsi="Times New Roman" w:cs="Times New Roman"/>
      <w:sz w:val="24"/>
      <w:szCs w:val="24"/>
      <w:lang w:eastAsia="ar-SA"/>
    </w:rPr>
  </w:style>
  <w:style w:type="character" w:styleId="Numrodepage">
    <w:name w:val="page number"/>
    <w:basedOn w:val="Policepardfaut"/>
    <w:rsid w:val="00AB15AD"/>
  </w:style>
  <w:style w:type="paragraph" w:styleId="Sansinterligne">
    <w:name w:val="No Spacing"/>
    <w:uiPriority w:val="1"/>
    <w:qFormat/>
    <w:rsid w:val="00AB15AD"/>
    <w:pPr>
      <w:spacing w:after="0" w:line="240" w:lineRule="auto"/>
    </w:pPr>
    <w:rPr>
      <w:rFonts w:ascii="Calibri" w:eastAsia="Calibri" w:hAnsi="Calibri" w:cs="Times New Roman"/>
    </w:rPr>
  </w:style>
  <w:style w:type="paragraph" w:customStyle="1" w:styleId="Standard">
    <w:name w:val="Standard"/>
    <w:rsid w:val="00AB15AD"/>
    <w:pPr>
      <w:widowControl w:val="0"/>
      <w:suppressAutoHyphens/>
      <w:autoSpaceDN w:val="0"/>
      <w:spacing w:after="0" w:line="240" w:lineRule="auto"/>
    </w:pPr>
    <w:rPr>
      <w:rFonts w:ascii="Times New Roman" w:eastAsia="Andale Sans UI" w:hAnsi="Times New Roman" w:cs="Tahoma"/>
      <w:kern w:val="3"/>
      <w:sz w:val="24"/>
      <w:szCs w:val="24"/>
      <w:lang w:eastAsia="fr-FR"/>
    </w:rPr>
  </w:style>
  <w:style w:type="paragraph" w:styleId="Paragraphedeliste">
    <w:name w:val="List Paragraph"/>
    <w:basedOn w:val="Normal"/>
    <w:uiPriority w:val="34"/>
    <w:qFormat/>
    <w:rsid w:val="00AB15AD"/>
    <w:pPr>
      <w:suppressAutoHyphens w:val="0"/>
      <w:ind w:left="720"/>
      <w:contextualSpacing/>
    </w:pPr>
    <w:rPr>
      <w:lang w:eastAsia="fr-FR"/>
    </w:rPr>
  </w:style>
  <w:style w:type="paragraph" w:styleId="NormalWeb">
    <w:name w:val="Normal (Web)"/>
    <w:basedOn w:val="Normal"/>
    <w:uiPriority w:val="99"/>
    <w:unhideWhenUsed/>
    <w:rsid w:val="00AB15AD"/>
    <w:pPr>
      <w:suppressAutoHyphens w:val="0"/>
      <w:spacing w:before="100" w:beforeAutospacing="1" w:after="100" w:afterAutospacing="1"/>
    </w:pPr>
    <w:rPr>
      <w:rFonts w:eastAsiaTheme="minorEastAsia"/>
      <w:lang w:eastAsia="fr-FR"/>
    </w:rPr>
  </w:style>
  <w:style w:type="character" w:styleId="Accentuation">
    <w:name w:val="Emphasis"/>
    <w:basedOn w:val="Policepardfaut"/>
    <w:uiPriority w:val="20"/>
    <w:qFormat/>
    <w:rsid w:val="004B7BD9"/>
    <w:rPr>
      <w:i/>
      <w:iCs/>
    </w:rPr>
  </w:style>
  <w:style w:type="character" w:styleId="lev">
    <w:name w:val="Strong"/>
    <w:basedOn w:val="Policepardfaut"/>
    <w:uiPriority w:val="22"/>
    <w:qFormat/>
    <w:rsid w:val="004B7BD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5AD"/>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B15AD"/>
    <w:pPr>
      <w:tabs>
        <w:tab w:val="center" w:pos="4536"/>
        <w:tab w:val="right" w:pos="9072"/>
      </w:tabs>
    </w:pPr>
  </w:style>
  <w:style w:type="character" w:customStyle="1" w:styleId="En-tteCar">
    <w:name w:val="En-tête Car"/>
    <w:basedOn w:val="Policepardfaut"/>
    <w:link w:val="En-tte"/>
    <w:rsid w:val="00AB15AD"/>
    <w:rPr>
      <w:rFonts w:ascii="Times New Roman" w:eastAsia="Times New Roman" w:hAnsi="Times New Roman" w:cs="Times New Roman"/>
      <w:sz w:val="24"/>
      <w:szCs w:val="24"/>
      <w:lang w:eastAsia="ar-SA"/>
    </w:rPr>
  </w:style>
  <w:style w:type="paragraph" w:styleId="Pieddepage">
    <w:name w:val="footer"/>
    <w:basedOn w:val="Normal"/>
    <w:link w:val="PieddepageCar"/>
    <w:rsid w:val="00AB15AD"/>
    <w:pPr>
      <w:suppressLineNumbers/>
      <w:tabs>
        <w:tab w:val="center" w:pos="4535"/>
        <w:tab w:val="right" w:pos="9071"/>
      </w:tabs>
    </w:pPr>
  </w:style>
  <w:style w:type="character" w:customStyle="1" w:styleId="PieddepageCar">
    <w:name w:val="Pied de page Car"/>
    <w:basedOn w:val="Policepardfaut"/>
    <w:link w:val="Pieddepage"/>
    <w:rsid w:val="00AB15AD"/>
    <w:rPr>
      <w:rFonts w:ascii="Times New Roman" w:eastAsia="Times New Roman" w:hAnsi="Times New Roman" w:cs="Times New Roman"/>
      <w:sz w:val="24"/>
      <w:szCs w:val="24"/>
      <w:lang w:eastAsia="ar-SA"/>
    </w:rPr>
  </w:style>
  <w:style w:type="character" w:styleId="Numrodepage">
    <w:name w:val="page number"/>
    <w:basedOn w:val="Policepardfaut"/>
    <w:rsid w:val="00AB15AD"/>
  </w:style>
  <w:style w:type="paragraph" w:styleId="Sansinterligne">
    <w:name w:val="No Spacing"/>
    <w:uiPriority w:val="1"/>
    <w:qFormat/>
    <w:rsid w:val="00AB15AD"/>
    <w:pPr>
      <w:spacing w:after="0" w:line="240" w:lineRule="auto"/>
    </w:pPr>
    <w:rPr>
      <w:rFonts w:ascii="Calibri" w:eastAsia="Calibri" w:hAnsi="Calibri" w:cs="Times New Roman"/>
    </w:rPr>
  </w:style>
  <w:style w:type="paragraph" w:customStyle="1" w:styleId="Standard">
    <w:name w:val="Standard"/>
    <w:rsid w:val="00AB15AD"/>
    <w:pPr>
      <w:widowControl w:val="0"/>
      <w:suppressAutoHyphens/>
      <w:autoSpaceDN w:val="0"/>
      <w:spacing w:after="0" w:line="240" w:lineRule="auto"/>
    </w:pPr>
    <w:rPr>
      <w:rFonts w:ascii="Times New Roman" w:eastAsia="Andale Sans UI" w:hAnsi="Times New Roman" w:cs="Tahoma"/>
      <w:kern w:val="3"/>
      <w:sz w:val="24"/>
      <w:szCs w:val="24"/>
      <w:lang w:eastAsia="fr-FR"/>
    </w:rPr>
  </w:style>
  <w:style w:type="paragraph" w:styleId="Paragraphedeliste">
    <w:name w:val="List Paragraph"/>
    <w:basedOn w:val="Normal"/>
    <w:uiPriority w:val="34"/>
    <w:qFormat/>
    <w:rsid w:val="00AB15AD"/>
    <w:pPr>
      <w:suppressAutoHyphens w:val="0"/>
      <w:ind w:left="720"/>
      <w:contextualSpacing/>
    </w:pPr>
    <w:rPr>
      <w:lang w:eastAsia="fr-FR"/>
    </w:rPr>
  </w:style>
  <w:style w:type="paragraph" w:styleId="NormalWeb">
    <w:name w:val="Normal (Web)"/>
    <w:basedOn w:val="Normal"/>
    <w:uiPriority w:val="99"/>
    <w:unhideWhenUsed/>
    <w:rsid w:val="00AB15AD"/>
    <w:pPr>
      <w:suppressAutoHyphens w:val="0"/>
      <w:spacing w:before="100" w:beforeAutospacing="1" w:after="100" w:afterAutospacing="1"/>
    </w:pPr>
    <w:rPr>
      <w:rFonts w:eastAsiaTheme="minorEastAsia"/>
      <w:lang w:eastAsia="fr-FR"/>
    </w:rPr>
  </w:style>
  <w:style w:type="character" w:styleId="Accentuation">
    <w:name w:val="Emphasis"/>
    <w:basedOn w:val="Policepardfaut"/>
    <w:uiPriority w:val="20"/>
    <w:qFormat/>
    <w:rsid w:val="004B7BD9"/>
    <w:rPr>
      <w:i/>
      <w:iCs/>
    </w:rPr>
  </w:style>
  <w:style w:type="character" w:styleId="lev">
    <w:name w:val="Strong"/>
    <w:basedOn w:val="Policepardfaut"/>
    <w:uiPriority w:val="22"/>
    <w:qFormat/>
    <w:rsid w:val="004B7B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71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3647</Characters>
  <Application>Microsoft Macintosh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Idriss</dc:creator>
  <cp:keywords/>
  <dc:description/>
  <cp:lastModifiedBy>PERZO Anne</cp:lastModifiedBy>
  <cp:revision>2</cp:revision>
  <cp:lastPrinted>2018-11-15T07:50:00Z</cp:lastPrinted>
  <dcterms:created xsi:type="dcterms:W3CDTF">2018-11-15T11:54:00Z</dcterms:created>
  <dcterms:modified xsi:type="dcterms:W3CDTF">2018-11-15T11:54:00Z</dcterms:modified>
</cp:coreProperties>
</file>